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92" w:rsidRPr="005F3580" w:rsidRDefault="001F159F">
      <w:pPr>
        <w:pStyle w:val="BodyText2"/>
        <w:rPr>
          <w:rFonts w:ascii="GHEA Grapalat" w:hAnsi="GHEA Grapalat"/>
        </w:rPr>
      </w:pPr>
      <w:r>
        <w:rPr>
          <w:rFonts w:ascii="GHEA Grapalat" w:hAnsi="GHEA Grapalat"/>
          <w:noProof/>
          <w:sz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8pt;margin-top:-9pt;width:162pt;height:45pt;z-index:251658240" stroked="f">
            <v:textbox style="mso-next-textbox:#_x0000_s1032">
              <w:txbxContent>
                <w:p w:rsidR="00456592" w:rsidRPr="005F3580" w:rsidRDefault="00E251CF">
                  <w:pPr>
                    <w:pStyle w:val="Heading1"/>
                    <w:jc w:val="left"/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</w:pPr>
                  <w:r w:rsidRPr="005F3580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  <w:t>600.0143.08.11.04</w:t>
                  </w:r>
                </w:p>
              </w:txbxContent>
            </v:textbox>
          </v:shape>
        </w:pict>
      </w:r>
      <w:r w:rsidR="00E251CF" w:rsidRPr="005F3580">
        <w:rPr>
          <w:rFonts w:ascii="GHEA Grapalat" w:hAnsi="GHEA Grapalat"/>
        </w:rPr>
        <w:t xml:space="preserve"> </w:t>
      </w:r>
    </w:p>
    <w:p w:rsidR="00456592" w:rsidRPr="005F3580" w:rsidRDefault="001F159F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.55pt;margin-top:65.15pt;width:506pt;height:63.7pt;z-index:251657216" filled="f" stroked="f" strokecolor="#595959" strokeweight="2pt">
            <v:textbox style="mso-next-textbox:#_x0000_s1026" inset="1pt,1pt,1pt,1pt">
              <w:txbxContent>
                <w:p w:rsidR="00456592" w:rsidRPr="005F3580" w:rsidRDefault="00456592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  <w:bookmarkStart w:id="0" w:name="_GoBack"/>
                </w:p>
                <w:p w:rsidR="00456592" w:rsidRPr="005F3580" w:rsidRDefault="005F3580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5F3580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E251CF" w:rsidRPr="005F3580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F3580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456592" w:rsidRPr="005F3580" w:rsidRDefault="005F3580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5F3580">
                    <w:rPr>
                      <w:rFonts w:ascii="GHEA Grapalat" w:hAnsi="GHEA Grapalat"/>
                      <w:b/>
                    </w:rPr>
                    <w:t>ՀԱՆՐԱՅԻՆ</w:t>
                  </w:r>
                  <w:r w:rsidR="00E251CF" w:rsidRPr="005F3580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F3580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E251CF" w:rsidRPr="005F3580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F3580">
                    <w:rPr>
                      <w:rFonts w:ascii="GHEA Grapalat" w:hAnsi="GHEA Grapalat"/>
                      <w:b/>
                    </w:rPr>
                    <w:t>ԿԱՐԳԱՎՈՐՈՂ</w:t>
                  </w:r>
                  <w:r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F3580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bookmarkEnd w:id="0"/>
                <w:p w:rsidR="00456592" w:rsidRPr="005F3580" w:rsidRDefault="00456592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  <w:r w:rsidR="00E251CF" w:rsidRPr="005F3580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587670" r:id="rId6"/>
        </w:object>
      </w:r>
    </w:p>
    <w:p w:rsidR="00456592" w:rsidRPr="005F3580" w:rsidRDefault="00456592">
      <w:pPr>
        <w:pStyle w:val="Header"/>
        <w:rPr>
          <w:rFonts w:ascii="GHEA Grapalat" w:hAnsi="GHEA Grapalat"/>
          <w:lang w:val="en-US"/>
        </w:rPr>
      </w:pPr>
    </w:p>
    <w:p w:rsidR="00456592" w:rsidRPr="005F3580" w:rsidRDefault="00456592">
      <w:pPr>
        <w:pStyle w:val="Header"/>
        <w:rPr>
          <w:rFonts w:ascii="GHEA Grapalat" w:hAnsi="GHEA Grapalat"/>
          <w:lang w:val="en-US"/>
        </w:rPr>
      </w:pPr>
    </w:p>
    <w:p w:rsidR="00456592" w:rsidRPr="005F3580" w:rsidRDefault="00456592">
      <w:pPr>
        <w:pStyle w:val="Header"/>
        <w:rPr>
          <w:rFonts w:ascii="GHEA Grapalat" w:hAnsi="GHEA Grapalat"/>
          <w:sz w:val="16"/>
          <w:lang w:val="en-US"/>
        </w:rPr>
      </w:pPr>
    </w:p>
    <w:p w:rsidR="00456592" w:rsidRPr="005F3580" w:rsidRDefault="00456592">
      <w:pPr>
        <w:pStyle w:val="Header"/>
        <w:rPr>
          <w:rFonts w:ascii="GHEA Grapalat" w:hAnsi="GHEA Grapalat"/>
          <w:noProof/>
          <w:lang w:val="af-ZA"/>
        </w:rPr>
      </w:pPr>
    </w:p>
    <w:p w:rsidR="00456592" w:rsidRPr="005F3580" w:rsidRDefault="005F3580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5F3580">
        <w:rPr>
          <w:rFonts w:ascii="GHEA Grapalat" w:hAnsi="GHEA Grapalat"/>
          <w:b/>
          <w:sz w:val="32"/>
          <w:lang w:val="af-ZA"/>
        </w:rPr>
        <w:t>ՈՐՈՇՈՒՄ</w:t>
      </w:r>
    </w:p>
    <w:p w:rsidR="00456592" w:rsidRPr="005F3580" w:rsidRDefault="00456592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456592" w:rsidRPr="005F3580" w:rsidRDefault="00E251CF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 xml:space="preserve">8 </w:t>
      </w:r>
      <w:r w:rsidR="005F3580" w:rsidRPr="005F3580">
        <w:rPr>
          <w:rFonts w:ascii="GHEA Grapalat" w:hAnsi="GHEA Grapalat"/>
          <w:sz w:val="24"/>
          <w:lang w:val="af-ZA"/>
        </w:rPr>
        <w:t>նոյեմբերի</w:t>
      </w:r>
      <w:r w:rsidRPr="005F3580">
        <w:rPr>
          <w:rFonts w:ascii="GHEA Grapalat" w:hAnsi="GHEA Grapalat"/>
          <w:sz w:val="24"/>
          <w:lang w:val="af-ZA"/>
        </w:rPr>
        <w:t xml:space="preserve"> 2004 </w:t>
      </w:r>
      <w:r w:rsidR="005F3580" w:rsidRPr="005F3580">
        <w:rPr>
          <w:rFonts w:ascii="GHEA Grapalat" w:hAnsi="GHEA Grapalat"/>
          <w:sz w:val="24"/>
          <w:lang w:val="af-ZA"/>
        </w:rPr>
        <w:t>թվականի</w:t>
      </w:r>
      <w:r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en-US"/>
        </w:rPr>
        <w:sym w:font="Times New Roman" w:char="2116"/>
      </w:r>
      <w:r w:rsidRPr="005F3580">
        <w:rPr>
          <w:rFonts w:ascii="GHEA Grapalat" w:hAnsi="GHEA Grapalat"/>
          <w:sz w:val="24"/>
          <w:lang w:val="af-ZA"/>
        </w:rPr>
        <w:t>143</w:t>
      </w:r>
      <w:r w:rsidR="005F3580" w:rsidRPr="005F3580">
        <w:rPr>
          <w:rFonts w:ascii="GHEA Grapalat" w:hAnsi="GHEA Grapalat"/>
          <w:sz w:val="24"/>
          <w:lang w:val="af-ZA"/>
        </w:rPr>
        <w:t>Ա</w:t>
      </w:r>
    </w:p>
    <w:p w:rsidR="00456592" w:rsidRPr="005F3580" w:rsidRDefault="005F3580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ք</w:t>
      </w:r>
      <w:r w:rsidR="00E251CF" w:rsidRPr="005F3580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5F3580">
        <w:rPr>
          <w:rFonts w:ascii="GHEA Grapalat" w:hAnsi="GHEA Grapalat"/>
          <w:sz w:val="24"/>
          <w:lang w:val="af-ZA"/>
        </w:rPr>
        <w:t>ան</w:t>
      </w:r>
    </w:p>
    <w:p w:rsidR="00456592" w:rsidRPr="005F3580" w:rsidRDefault="00456592">
      <w:pPr>
        <w:pStyle w:val="Header"/>
        <w:jc w:val="center"/>
        <w:rPr>
          <w:rFonts w:ascii="GHEA Grapalat" w:hAnsi="GHEA Grapalat"/>
          <w:b/>
          <w:sz w:val="22"/>
          <w:lang w:val="af-ZA"/>
        </w:rPr>
      </w:pPr>
    </w:p>
    <w:p w:rsidR="00456592" w:rsidRPr="005F3580" w:rsidRDefault="005F3580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5F3580">
        <w:rPr>
          <w:rFonts w:ascii="GHEA Grapalat" w:hAnsi="GHEA Grapalat"/>
          <w:b/>
          <w:sz w:val="24"/>
          <w:szCs w:val="24"/>
          <w:lang w:val="af-ZA"/>
        </w:rPr>
        <w:t>«ՀՐԱԶԴԱՆԻ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ԷՆԵՐԳԵՏԻԿ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(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ՀՐԱԶՋԷԿ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>)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»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ԲԱՑ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ԸՆԿԵՐՈՒԹՅԱՆԸ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ԷԼԵԿՏՐԱԿԱՆ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ԷՆԵՐԳԻԱՅԻ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(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ՀԶՈՐՈՒԹՅԱՆ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)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ԱՐՏԱԴՐՈՒԹՅԱՆ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ՋԵՐՄԱՅԻՆ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ԷՆԵՐԳԻԱՅԻ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ԱՐՏԱԴՐՈՒԹՅԱՆ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>,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ՓՈԽԱԴՐՄԱՆ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ԵՎ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ԲԱՇԽՄԱՆ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ԼԻՑԵՆԶԻԱՆԵՐ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ՏՐԱՄԱԴՐԵԼՈՒ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3580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E251CF" w:rsidRPr="005F3580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456592" w:rsidRPr="005F3580" w:rsidRDefault="00E251CF" w:rsidP="001F159F">
      <w:pPr>
        <w:pStyle w:val="BodyText"/>
        <w:spacing w:line="360" w:lineRule="auto"/>
        <w:jc w:val="both"/>
        <w:rPr>
          <w:rFonts w:ascii="GHEA Grapalat" w:hAnsi="GHEA Grapalat"/>
          <w:bCs/>
          <w:kern w:val="28"/>
        </w:rPr>
      </w:pPr>
      <w:r w:rsidRPr="005F3580">
        <w:rPr>
          <w:rFonts w:ascii="GHEA Grapalat" w:hAnsi="GHEA Grapalat"/>
          <w:b w:val="0"/>
          <w:kern w:val="28"/>
        </w:rPr>
        <w:t xml:space="preserve"> </w:t>
      </w:r>
      <w:r w:rsidRPr="005F3580">
        <w:rPr>
          <w:rFonts w:ascii="GHEA Grapalat" w:hAnsi="GHEA Grapalat"/>
          <w:b w:val="0"/>
          <w:kern w:val="28"/>
        </w:rPr>
        <w:tab/>
      </w:r>
      <w:r w:rsidR="005F3580" w:rsidRPr="005F3580">
        <w:rPr>
          <w:rFonts w:ascii="GHEA Grapalat" w:hAnsi="GHEA Grapalat"/>
          <w:b w:val="0"/>
          <w:kern w:val="28"/>
        </w:rPr>
        <w:t>Հիմք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ընդունելով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«Էներգետիկայի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մասին»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Հայաստանի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Հանրապետության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օրենքի</w:t>
      </w:r>
      <w:r w:rsidR="005F3580">
        <w:rPr>
          <w:rFonts w:ascii="GHEA Grapalat" w:hAnsi="GHEA Grapalat"/>
          <w:b w:val="0"/>
          <w:kern w:val="28"/>
        </w:rPr>
        <w:t xml:space="preserve"> </w:t>
      </w:r>
      <w:r w:rsidRPr="005F3580">
        <w:rPr>
          <w:rFonts w:ascii="GHEA Grapalat" w:hAnsi="GHEA Grapalat"/>
          <w:b w:val="0"/>
          <w:kern w:val="28"/>
        </w:rPr>
        <w:t>17-</w:t>
      </w:r>
      <w:r w:rsidR="005F3580" w:rsidRPr="005F3580">
        <w:rPr>
          <w:rFonts w:ascii="GHEA Grapalat" w:hAnsi="GHEA Grapalat"/>
          <w:b w:val="0"/>
          <w:kern w:val="28"/>
        </w:rPr>
        <w:t>րդ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հոդվածի</w:t>
      </w:r>
      <w:r w:rsidRPr="005F3580">
        <w:rPr>
          <w:rFonts w:ascii="GHEA Grapalat" w:hAnsi="GHEA Grapalat"/>
          <w:b w:val="0"/>
          <w:kern w:val="28"/>
        </w:rPr>
        <w:t xml:space="preserve"> 1-</w:t>
      </w:r>
      <w:r w:rsidR="005F3580" w:rsidRPr="005F3580">
        <w:rPr>
          <w:rFonts w:ascii="GHEA Grapalat" w:hAnsi="GHEA Grapalat"/>
          <w:b w:val="0"/>
          <w:kern w:val="28"/>
        </w:rPr>
        <w:t>ին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մասի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բ</w:t>
      </w:r>
      <w:r w:rsidRPr="005F3580">
        <w:rPr>
          <w:rFonts w:ascii="GHEA Grapalat" w:hAnsi="GHEA Grapalat"/>
          <w:b w:val="0"/>
          <w:kern w:val="28"/>
        </w:rPr>
        <w:t xml:space="preserve">) </w:t>
      </w:r>
      <w:r w:rsidR="005F3580" w:rsidRPr="005F3580">
        <w:rPr>
          <w:rFonts w:ascii="GHEA Grapalat" w:hAnsi="GHEA Grapalat"/>
          <w:b w:val="0"/>
          <w:kern w:val="28"/>
        </w:rPr>
        <w:t>կետը</w:t>
      </w:r>
      <w:r w:rsidRPr="005F3580">
        <w:rPr>
          <w:rFonts w:ascii="GHEA Grapalat" w:hAnsi="GHEA Grapalat"/>
          <w:b w:val="0"/>
          <w:kern w:val="28"/>
        </w:rPr>
        <w:t>, 23-</w:t>
      </w:r>
      <w:r w:rsidR="005F3580" w:rsidRPr="005F3580">
        <w:rPr>
          <w:rFonts w:ascii="GHEA Grapalat" w:hAnsi="GHEA Grapalat"/>
          <w:b w:val="0"/>
          <w:kern w:val="28"/>
        </w:rPr>
        <w:t>րդ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հոդվածը</w:t>
      </w:r>
      <w:r w:rsidR="001F159F">
        <w:rPr>
          <w:rFonts w:ascii="GHEA Grapalat" w:hAnsi="GHEA Grapalat"/>
          <w:b w:val="0"/>
          <w:kern w:val="28"/>
        </w:rPr>
        <w:t xml:space="preserve"> </w:t>
      </w:r>
      <w:r w:rsidR="005F3580">
        <w:rPr>
          <w:rFonts w:ascii="GHEA Grapalat" w:hAnsi="GHEA Grapalat"/>
          <w:b w:val="0"/>
          <w:kern w:val="28"/>
        </w:rPr>
        <w:t>և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Հայաստանի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Հանրապետության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էներգետիկայի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կարգավորող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հանձնաժողովի</w:t>
      </w:r>
      <w:r w:rsidRPr="005F3580">
        <w:rPr>
          <w:rFonts w:ascii="GHEA Grapalat" w:hAnsi="GHEA Grapalat"/>
          <w:b w:val="0"/>
          <w:kern w:val="28"/>
        </w:rPr>
        <w:t xml:space="preserve"> 2002 </w:t>
      </w:r>
      <w:r w:rsidR="005F3580" w:rsidRPr="005F3580">
        <w:rPr>
          <w:rFonts w:ascii="GHEA Grapalat" w:hAnsi="GHEA Grapalat"/>
          <w:b w:val="0"/>
          <w:kern w:val="28"/>
        </w:rPr>
        <w:t>թվականի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հունվարի</w:t>
      </w:r>
      <w:r w:rsidRPr="005F3580">
        <w:rPr>
          <w:rFonts w:ascii="GHEA Grapalat" w:hAnsi="GHEA Grapalat"/>
          <w:b w:val="0"/>
          <w:kern w:val="28"/>
        </w:rPr>
        <w:t xml:space="preserve"> 30-</w:t>
      </w:r>
      <w:r w:rsidR="005F3580" w:rsidRPr="005F3580">
        <w:rPr>
          <w:rFonts w:ascii="GHEA Grapalat" w:hAnsi="GHEA Grapalat"/>
          <w:b w:val="0"/>
          <w:kern w:val="28"/>
        </w:rPr>
        <w:t>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«Հայաստանի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Հանրապետության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էներգետիկայի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բնագավառում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գործունեության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լիցենզավորման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կարգը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հաստատելու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մասին»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Pr="005F3580">
        <w:rPr>
          <w:rFonts w:ascii="GHEA Grapalat" w:hAnsi="GHEA Grapalat"/>
          <w:b w:val="0"/>
          <w:kern w:val="28"/>
        </w:rPr>
        <w:sym w:font="Symbol" w:char="004E"/>
      </w:r>
      <w:r w:rsidRPr="005F3580">
        <w:rPr>
          <w:rFonts w:ascii="GHEA Grapalat" w:hAnsi="GHEA Grapalat"/>
          <w:b w:val="0"/>
          <w:kern w:val="28"/>
        </w:rPr>
        <w:t xml:space="preserve">4 </w:t>
      </w:r>
      <w:r w:rsidR="005F3580" w:rsidRPr="005F3580">
        <w:rPr>
          <w:rFonts w:ascii="GHEA Grapalat" w:hAnsi="GHEA Grapalat"/>
          <w:b w:val="0"/>
          <w:kern w:val="28"/>
        </w:rPr>
        <w:t>որոշումը՝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Հայաստանի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Հանրապետության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հանրային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ծառայությունները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կարգավորող</w:t>
      </w:r>
      <w:r w:rsidRP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 w:val="0"/>
          <w:kern w:val="28"/>
        </w:rPr>
        <w:t>հանձնաժողովը</w:t>
      </w:r>
      <w:r w:rsidR="005F3580">
        <w:rPr>
          <w:rFonts w:ascii="GHEA Grapalat" w:hAnsi="GHEA Grapalat"/>
          <w:b w:val="0"/>
          <w:kern w:val="28"/>
        </w:rPr>
        <w:t xml:space="preserve"> </w:t>
      </w:r>
      <w:r w:rsidR="005F3580" w:rsidRPr="005F3580">
        <w:rPr>
          <w:rFonts w:ascii="GHEA Grapalat" w:hAnsi="GHEA Grapalat"/>
          <w:bCs/>
          <w:kern w:val="28"/>
        </w:rPr>
        <w:t>որոշում</w:t>
      </w:r>
      <w:r w:rsidRPr="005F3580">
        <w:rPr>
          <w:rFonts w:ascii="GHEA Grapalat" w:hAnsi="GHEA Grapalat"/>
          <w:bCs/>
          <w:kern w:val="28"/>
        </w:rPr>
        <w:t xml:space="preserve"> </w:t>
      </w:r>
      <w:r w:rsidR="005F3580" w:rsidRPr="005F3580">
        <w:rPr>
          <w:rFonts w:ascii="GHEA Grapalat" w:hAnsi="GHEA Grapalat"/>
          <w:bCs/>
          <w:kern w:val="28"/>
        </w:rPr>
        <w:t>է</w:t>
      </w:r>
      <w:r w:rsidRPr="005F3580">
        <w:rPr>
          <w:rFonts w:ascii="GHEA Grapalat" w:hAnsi="GHEA Grapalat"/>
          <w:bCs/>
          <w:kern w:val="28"/>
        </w:rPr>
        <w:t>.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Բավարարել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ներկայացրած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հայտը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սեփականության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իրավունքով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անհատույց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փոխանցված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հողատարածքներում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Կոտայքի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մարզ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քաղաք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Հրազդան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Գործարանային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փողոց</w:t>
      </w:r>
      <w:r w:rsidR="00E251CF" w:rsidRPr="005F3580">
        <w:rPr>
          <w:rFonts w:ascii="GHEA Grapalat" w:hAnsi="GHEA Grapalat"/>
          <w:sz w:val="24"/>
          <w:lang w:val="af-ZA"/>
        </w:rPr>
        <w:t>).</w:t>
      </w:r>
    </w:p>
    <w:p w:rsidR="00456592" w:rsidRPr="005F3580" w:rsidRDefault="005F3580" w:rsidP="001F159F">
      <w:pPr>
        <w:pStyle w:val="EnvelopeReturn"/>
        <w:spacing w:line="360" w:lineRule="auto"/>
        <w:ind w:left="1134" w:hanging="283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ա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տրամադրել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արտադրության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լիցենզիա՝</w:t>
      </w:r>
      <w:r>
        <w:rPr>
          <w:rFonts w:ascii="GHEA Grapalat" w:hAnsi="GHEA Grapalat"/>
          <w:sz w:val="24"/>
          <w:lang w:val="af-ZA"/>
        </w:rPr>
        <w:t xml:space="preserve"> </w:t>
      </w:r>
      <w:r w:rsidR="00E251CF" w:rsidRPr="005F3580">
        <w:rPr>
          <w:rFonts w:ascii="GHEA Grapalat" w:hAnsi="GHEA Grapalat"/>
          <w:sz w:val="24"/>
          <w:lang w:val="af-ZA"/>
        </w:rPr>
        <w:t xml:space="preserve">15 </w:t>
      </w:r>
      <w:r w:rsidRPr="005F3580">
        <w:rPr>
          <w:rFonts w:ascii="GHEA Grapalat" w:hAnsi="GHEA Grapalat"/>
          <w:sz w:val="24"/>
          <w:lang w:val="af-ZA"/>
        </w:rPr>
        <w:t>տարի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գործողության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ժամկետով</w:t>
      </w:r>
      <w:r w:rsidR="00E251CF" w:rsidRPr="005F3580">
        <w:rPr>
          <w:rFonts w:ascii="GHEA Grapalat" w:hAnsi="GHEA Grapalat"/>
          <w:sz w:val="24"/>
          <w:lang w:val="af-ZA"/>
        </w:rPr>
        <w:t>,</w:t>
      </w:r>
    </w:p>
    <w:p w:rsidR="00456592" w:rsidRPr="005F3580" w:rsidRDefault="005F3580" w:rsidP="001F159F">
      <w:pPr>
        <w:pStyle w:val="EnvelopeReturn"/>
        <w:spacing w:line="360" w:lineRule="auto"/>
        <w:ind w:left="1134" w:hanging="283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բ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հաստատել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արտադրության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պայմանները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հավելված</w:t>
      </w:r>
      <w:r w:rsidR="00E251CF" w:rsidRPr="005F3580">
        <w:rPr>
          <w:rFonts w:ascii="GHEA Grapalat" w:hAnsi="GHEA Grapalat"/>
          <w:sz w:val="24"/>
          <w:lang w:val="af-ZA"/>
        </w:rPr>
        <w:t xml:space="preserve"> 1),</w:t>
      </w:r>
    </w:p>
    <w:p w:rsidR="00456592" w:rsidRPr="005F3580" w:rsidRDefault="005F3580" w:rsidP="001F159F">
      <w:pPr>
        <w:pStyle w:val="EnvelopeReturn"/>
        <w:spacing w:line="360" w:lineRule="auto"/>
        <w:ind w:left="1134" w:hanging="283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lastRenderedPageBreak/>
        <w:t>գ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տրամադրել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արտադրության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լիցենզիա՝</w:t>
      </w:r>
      <w:r w:rsidR="00E251CF" w:rsidRPr="005F3580">
        <w:rPr>
          <w:rFonts w:ascii="GHEA Grapalat" w:hAnsi="GHEA Grapalat"/>
          <w:sz w:val="24"/>
          <w:lang w:val="af-ZA"/>
        </w:rPr>
        <w:t xml:space="preserve"> 15 </w:t>
      </w:r>
      <w:r w:rsidRPr="005F3580">
        <w:rPr>
          <w:rFonts w:ascii="GHEA Grapalat" w:hAnsi="GHEA Grapalat"/>
          <w:sz w:val="24"/>
          <w:lang w:val="af-ZA"/>
        </w:rPr>
        <w:t>տարի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գործողության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ժամկետով</w:t>
      </w:r>
      <w:r w:rsidR="00E251CF" w:rsidRPr="005F3580">
        <w:rPr>
          <w:rFonts w:ascii="GHEA Grapalat" w:hAnsi="GHEA Grapalat"/>
          <w:sz w:val="24"/>
          <w:lang w:val="af-ZA"/>
        </w:rPr>
        <w:t>,</w:t>
      </w:r>
    </w:p>
    <w:p w:rsidR="00456592" w:rsidRPr="005F3580" w:rsidRDefault="005F3580" w:rsidP="001F159F">
      <w:pPr>
        <w:pStyle w:val="EnvelopeReturn"/>
        <w:spacing w:line="360" w:lineRule="auto"/>
        <w:ind w:left="1134" w:hanging="283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դ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հաստատել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արտադրության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պայմանները</w:t>
      </w:r>
      <w:r>
        <w:rPr>
          <w:rFonts w:ascii="GHEA Grapalat" w:hAnsi="GHEA Grapalat"/>
          <w:sz w:val="24"/>
          <w:lang w:val="af-ZA"/>
        </w:rPr>
        <w:t xml:space="preserve"> </w:t>
      </w:r>
      <w:r w:rsidR="00E251CF" w:rsidRPr="005F3580">
        <w:rPr>
          <w:rFonts w:ascii="GHEA Grapalat" w:hAnsi="GHEA Grapalat"/>
          <w:sz w:val="24"/>
          <w:lang w:val="af-ZA"/>
        </w:rPr>
        <w:t>(</w:t>
      </w:r>
      <w:r w:rsidRPr="005F3580">
        <w:rPr>
          <w:rFonts w:ascii="GHEA Grapalat" w:hAnsi="GHEA Grapalat"/>
          <w:sz w:val="24"/>
          <w:lang w:val="af-ZA"/>
        </w:rPr>
        <w:t>հավելված</w:t>
      </w:r>
      <w:r w:rsidR="00E251CF" w:rsidRPr="005F3580">
        <w:rPr>
          <w:rFonts w:ascii="GHEA Grapalat" w:hAnsi="GHEA Grapalat"/>
          <w:sz w:val="24"/>
          <w:lang w:val="af-ZA"/>
        </w:rPr>
        <w:t xml:space="preserve"> 2),</w:t>
      </w:r>
    </w:p>
    <w:p w:rsidR="00456592" w:rsidRPr="005F3580" w:rsidRDefault="005F3580" w:rsidP="001F159F">
      <w:pPr>
        <w:pStyle w:val="EnvelopeReturn"/>
        <w:spacing w:line="360" w:lineRule="auto"/>
        <w:ind w:left="1134" w:hanging="283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ե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տրամադրել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փոխադրման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լիցենզիա՝</w:t>
      </w:r>
      <w:r w:rsidR="00E251CF" w:rsidRPr="005F3580">
        <w:rPr>
          <w:rFonts w:ascii="GHEA Grapalat" w:hAnsi="GHEA Grapalat"/>
          <w:sz w:val="24"/>
          <w:lang w:val="af-ZA"/>
        </w:rPr>
        <w:t xml:space="preserve"> 15 </w:t>
      </w:r>
      <w:r w:rsidRPr="005F3580">
        <w:rPr>
          <w:rFonts w:ascii="GHEA Grapalat" w:hAnsi="GHEA Grapalat"/>
          <w:sz w:val="24"/>
          <w:lang w:val="af-ZA"/>
        </w:rPr>
        <w:t>տարի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գործողության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ժամկետով</w:t>
      </w:r>
      <w:r w:rsidR="00E251CF" w:rsidRPr="005F3580">
        <w:rPr>
          <w:rFonts w:ascii="GHEA Grapalat" w:hAnsi="GHEA Grapalat"/>
          <w:sz w:val="24"/>
          <w:lang w:val="af-ZA"/>
        </w:rPr>
        <w:t>,</w:t>
      </w:r>
    </w:p>
    <w:p w:rsidR="00456592" w:rsidRPr="005F3580" w:rsidRDefault="005F3580" w:rsidP="001F159F">
      <w:pPr>
        <w:pStyle w:val="EnvelopeReturn"/>
        <w:spacing w:line="360" w:lineRule="auto"/>
        <w:ind w:left="1134" w:hanging="283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զ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հաստատել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փոխադրման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պայմանները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հավելված</w:t>
      </w:r>
      <w:r>
        <w:rPr>
          <w:rFonts w:ascii="GHEA Grapalat" w:hAnsi="GHEA Grapalat"/>
          <w:sz w:val="24"/>
          <w:lang w:val="af-ZA"/>
        </w:rPr>
        <w:t xml:space="preserve"> </w:t>
      </w:r>
      <w:r w:rsidR="00E251CF" w:rsidRPr="005F3580">
        <w:rPr>
          <w:rFonts w:ascii="GHEA Grapalat" w:hAnsi="GHEA Grapalat"/>
          <w:sz w:val="24"/>
          <w:lang w:val="af-ZA"/>
        </w:rPr>
        <w:t>3),</w:t>
      </w:r>
    </w:p>
    <w:p w:rsidR="00456592" w:rsidRPr="005F3580" w:rsidRDefault="005F3580" w:rsidP="001F159F">
      <w:pPr>
        <w:pStyle w:val="EnvelopeReturn"/>
        <w:spacing w:line="360" w:lineRule="auto"/>
        <w:ind w:left="1134" w:hanging="283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է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տրամադրել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բաշխման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լիցենզիա՝</w:t>
      </w:r>
      <w:r w:rsidR="00E251CF" w:rsidRPr="005F3580">
        <w:rPr>
          <w:rFonts w:ascii="GHEA Grapalat" w:hAnsi="GHEA Grapalat"/>
          <w:sz w:val="24"/>
          <w:lang w:val="af-ZA"/>
        </w:rPr>
        <w:t xml:space="preserve"> 15 </w:t>
      </w:r>
      <w:r w:rsidRPr="005F3580">
        <w:rPr>
          <w:rFonts w:ascii="GHEA Grapalat" w:hAnsi="GHEA Grapalat"/>
          <w:sz w:val="24"/>
          <w:lang w:val="af-ZA"/>
        </w:rPr>
        <w:t>տարի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գործողության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ժամկետով</w:t>
      </w:r>
      <w:r w:rsidR="00E251CF" w:rsidRPr="005F3580">
        <w:rPr>
          <w:rFonts w:ascii="GHEA Grapalat" w:hAnsi="GHEA Grapalat"/>
          <w:sz w:val="24"/>
          <w:lang w:val="af-ZA"/>
        </w:rPr>
        <w:t>,</w:t>
      </w:r>
    </w:p>
    <w:p w:rsidR="00456592" w:rsidRPr="005F3580" w:rsidRDefault="005F3580" w:rsidP="001F159F">
      <w:pPr>
        <w:pStyle w:val="EnvelopeReturn"/>
        <w:spacing w:line="360" w:lineRule="auto"/>
        <w:ind w:left="1134" w:hanging="283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ը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հաստատել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բաշխման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պայմանները</w:t>
      </w:r>
      <w:r>
        <w:rPr>
          <w:rFonts w:ascii="GHEA Grapalat" w:hAnsi="GHEA Grapalat"/>
          <w:sz w:val="24"/>
          <w:lang w:val="af-ZA"/>
        </w:rPr>
        <w:t xml:space="preserve"> </w:t>
      </w:r>
      <w:r w:rsidR="00E251CF" w:rsidRPr="005F3580">
        <w:rPr>
          <w:rFonts w:ascii="GHEA Grapalat" w:hAnsi="GHEA Grapalat"/>
          <w:sz w:val="24"/>
          <w:lang w:val="af-ZA"/>
        </w:rPr>
        <w:t>(</w:t>
      </w:r>
      <w:r w:rsidRPr="005F3580">
        <w:rPr>
          <w:rFonts w:ascii="GHEA Grapalat" w:hAnsi="GHEA Grapalat"/>
          <w:sz w:val="24"/>
          <w:lang w:val="af-ZA"/>
        </w:rPr>
        <w:t>հավելված</w:t>
      </w:r>
      <w:r>
        <w:rPr>
          <w:rFonts w:ascii="GHEA Grapalat" w:hAnsi="GHEA Grapalat"/>
          <w:sz w:val="24"/>
          <w:lang w:val="af-ZA"/>
        </w:rPr>
        <w:t xml:space="preserve"> </w:t>
      </w:r>
      <w:r w:rsidR="00E251CF" w:rsidRPr="005F3580">
        <w:rPr>
          <w:rFonts w:ascii="GHEA Grapalat" w:hAnsi="GHEA Grapalat"/>
          <w:sz w:val="24"/>
          <w:lang w:val="af-ZA"/>
        </w:rPr>
        <w:t>4)</w:t>
      </w:r>
      <w:r w:rsidRPr="005F3580">
        <w:rPr>
          <w:rFonts w:ascii="GHEA Grapalat" w:hAnsi="GHEA Grapalat"/>
          <w:sz w:val="24"/>
          <w:lang w:val="af-ZA"/>
        </w:rPr>
        <w:t>։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Ընդունել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գիտություն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որ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ծառայությունները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կարգավորող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հանձնաժողովը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մինչ</w:t>
      </w:r>
      <w:r>
        <w:rPr>
          <w:rFonts w:ascii="GHEA Grapalat" w:hAnsi="GHEA Grapalat"/>
          <w:sz w:val="24"/>
          <w:lang w:val="af-ZA"/>
        </w:rPr>
        <w:t xml:space="preserve"> և</w:t>
      </w:r>
      <w:r w:rsidR="00E251CF" w:rsidRPr="005F3580">
        <w:rPr>
          <w:rFonts w:ascii="GHEA Grapalat" w:hAnsi="GHEA Grapalat"/>
          <w:sz w:val="24"/>
          <w:lang w:val="af-ZA"/>
        </w:rPr>
        <w:t xml:space="preserve"> 2004 </w:t>
      </w:r>
      <w:r w:rsidRPr="005F3580">
        <w:rPr>
          <w:rFonts w:ascii="GHEA Grapalat" w:hAnsi="GHEA Grapalat"/>
          <w:sz w:val="24"/>
          <w:lang w:val="af-ZA"/>
        </w:rPr>
        <w:t>թվականի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դեկտեմբերի</w:t>
      </w:r>
      <w:r w:rsidR="00E251CF" w:rsidRPr="005F3580">
        <w:rPr>
          <w:rFonts w:ascii="GHEA Grapalat" w:hAnsi="GHEA Grapalat"/>
          <w:sz w:val="24"/>
          <w:lang w:val="af-ZA"/>
        </w:rPr>
        <w:t xml:space="preserve"> 1-</w:t>
      </w:r>
      <w:r w:rsidRPr="005F3580">
        <w:rPr>
          <w:rFonts w:ascii="GHEA Grapalat" w:hAnsi="GHEA Grapalat"/>
          <w:sz w:val="24"/>
          <w:lang w:val="af-ZA"/>
        </w:rPr>
        <w:t>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կհաստատի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սակագները։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Մինչ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սույն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որոշման</w:t>
      </w:r>
      <w:r w:rsidR="00E251CF" w:rsidRPr="005F3580">
        <w:rPr>
          <w:rFonts w:ascii="GHEA Grapalat" w:hAnsi="GHEA Grapalat"/>
          <w:sz w:val="24"/>
          <w:lang w:val="af-ZA"/>
        </w:rPr>
        <w:t xml:space="preserve"> 2-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ծառայությունները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կարգավորող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հանձնաժողովի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կսահմանվի</w:t>
      </w:r>
      <w:r>
        <w:rPr>
          <w:rFonts w:ascii="GHEA Grapalat" w:hAnsi="GHEA Grapalat"/>
          <w:sz w:val="24"/>
          <w:lang w:val="af-ZA"/>
        </w:rPr>
        <w:t xml:space="preserve"> 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կմտնի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սակագինը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առաջարկել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ցանցեր»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փակ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ընկերություններին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կնքել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պայմանագիր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արտադրության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պահից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մինչ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սակագինն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պահը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հաշվառման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նպատակով։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Առաջարկել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ցանցեր»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փակ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պայմանագրի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հիման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վրա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lastRenderedPageBreak/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բնականոն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գործունեության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էլեկտրաէներգետիկական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համակարգի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հուսալիության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ապահովման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նպատակով՝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մինչ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սակագինն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պահը</w:t>
      </w:r>
      <w:r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տրամադրել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կանխավճարներ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կամ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փոխառություն։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Սույն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որոշման</w:t>
      </w:r>
      <w:r w:rsidR="00E251CF" w:rsidRPr="005F3580">
        <w:rPr>
          <w:rFonts w:ascii="GHEA Grapalat" w:hAnsi="GHEA Grapalat"/>
          <w:sz w:val="24"/>
          <w:lang w:val="af-ZA"/>
        </w:rPr>
        <w:t xml:space="preserve"> 2-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կետում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նշված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սակագինն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պահից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հիմք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ընդունելով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քաղաքացիական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օրենսգրքի</w:t>
      </w:r>
      <w:r w:rsidR="00E251CF" w:rsidRPr="005F3580">
        <w:rPr>
          <w:rFonts w:ascii="GHEA Grapalat" w:hAnsi="GHEA Grapalat"/>
          <w:sz w:val="24"/>
          <w:lang w:val="af-ZA"/>
        </w:rPr>
        <w:t xml:space="preserve"> 441-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հոդվածի</w:t>
      </w:r>
      <w:r w:rsidR="00E251CF" w:rsidRPr="005F3580">
        <w:rPr>
          <w:rFonts w:ascii="GHEA Grapalat" w:hAnsi="GHEA Grapalat"/>
          <w:sz w:val="24"/>
          <w:lang w:val="af-ZA"/>
        </w:rPr>
        <w:t xml:space="preserve"> 2-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կատարել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վերահաշվարկ՝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սույն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որոշման</w:t>
      </w:r>
      <w:r w:rsidR="00E251CF" w:rsidRPr="005F3580">
        <w:rPr>
          <w:rFonts w:ascii="GHEA Grapalat" w:hAnsi="GHEA Grapalat"/>
          <w:sz w:val="24"/>
          <w:lang w:val="af-ZA"/>
        </w:rPr>
        <w:t xml:space="preserve"> 3-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պայմանագրի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հիման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վրա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հաշվառված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համար։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Մինչ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սույն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որոշման</w:t>
      </w:r>
      <w:r w:rsidR="00E251CF" w:rsidRPr="005F3580">
        <w:rPr>
          <w:rFonts w:ascii="GHEA Grapalat" w:hAnsi="GHEA Grapalat"/>
          <w:sz w:val="24"/>
          <w:lang w:val="af-ZA"/>
        </w:rPr>
        <w:t xml:space="preserve"> 2-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ծառայությունները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կարգավորող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հանձնաժողովի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կսահմանվի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կմտնի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սակագինը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առաջարկել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քաղաքային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համայնքի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«Ջեռուցման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վարչություն»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փակ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ընկերություններին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կնքել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պայմանագիր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արտադրության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փոխադրման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բաշխման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լիցենզիաներն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պահից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մինչ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սակագինն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պահը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հաշվառման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նպատակով։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Առաջարկել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քաղաքային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համայնքի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«Ջեռուցման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վարչություն»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փակ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պայմանագրի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հիման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վրա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բնականոն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գործունեության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ջերմամատակարարման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համակարգի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հուսալիության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ապահովման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նպատակով՝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մինչ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սակագինն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պահը</w:t>
      </w:r>
      <w:r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="00E251CF" w:rsidRPr="005F3580">
        <w:rPr>
          <w:rFonts w:ascii="GHEA Grapalat" w:hAnsi="GHEA Grapalat"/>
          <w:sz w:val="24"/>
          <w:lang w:val="af-ZA"/>
        </w:rPr>
        <w:lastRenderedPageBreak/>
        <w:t>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տրամադրել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կանխավճարներ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կամ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փոխառություն։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Սույն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որոշման</w:t>
      </w:r>
      <w:r w:rsidR="00E251CF" w:rsidRPr="005F3580">
        <w:rPr>
          <w:rFonts w:ascii="GHEA Grapalat" w:hAnsi="GHEA Grapalat"/>
          <w:sz w:val="24"/>
          <w:lang w:val="af-ZA"/>
        </w:rPr>
        <w:t xml:space="preserve"> 2-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կետում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նշված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կազմակերպություն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ՀրազՋԷԿ</w:t>
      </w:r>
      <w:r w:rsidR="00E251CF" w:rsidRPr="005F3580">
        <w:rPr>
          <w:rFonts w:ascii="GHEA Grapalat" w:hAnsi="GHEA Grapalat"/>
          <w:sz w:val="24"/>
          <w:lang w:val="af-ZA"/>
        </w:rPr>
        <w:t>)</w:t>
      </w:r>
      <w:r w:rsidRPr="005F3580">
        <w:rPr>
          <w:rFonts w:ascii="GHEA Grapalat" w:hAnsi="GHEA Grapalat"/>
          <w:sz w:val="24"/>
          <w:lang w:val="af-ZA"/>
        </w:rPr>
        <w:t>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առաքվող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սակագինն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պահից</w:t>
      </w:r>
      <w:r w:rsidR="00E251CF" w:rsidRPr="005F3580">
        <w:rPr>
          <w:rFonts w:ascii="GHEA Grapalat" w:hAnsi="GHEA Grapalat"/>
          <w:sz w:val="24"/>
          <w:lang w:val="af-ZA"/>
        </w:rPr>
        <w:t xml:space="preserve">, </w:t>
      </w:r>
      <w:r w:rsidRPr="005F3580">
        <w:rPr>
          <w:rFonts w:ascii="GHEA Grapalat" w:hAnsi="GHEA Grapalat"/>
          <w:sz w:val="24"/>
          <w:lang w:val="af-ZA"/>
        </w:rPr>
        <w:t>հիմք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ընդունելով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քաղաքացիական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օրենսգրքի</w:t>
      </w:r>
      <w:r w:rsidR="00E251CF" w:rsidRPr="005F3580">
        <w:rPr>
          <w:rFonts w:ascii="GHEA Grapalat" w:hAnsi="GHEA Grapalat"/>
          <w:sz w:val="24"/>
          <w:lang w:val="af-ZA"/>
        </w:rPr>
        <w:t xml:space="preserve"> 441-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հոդվածի</w:t>
      </w:r>
      <w:r w:rsidR="00E251CF" w:rsidRPr="005F3580">
        <w:rPr>
          <w:rFonts w:ascii="GHEA Grapalat" w:hAnsi="GHEA Grapalat"/>
          <w:sz w:val="24"/>
          <w:lang w:val="af-ZA"/>
        </w:rPr>
        <w:t xml:space="preserve"> 2-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կատարել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վերահաշվարկ՝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սույն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որոշման</w:t>
      </w:r>
      <w:r w:rsidR="00E251CF" w:rsidRPr="005F3580">
        <w:rPr>
          <w:rFonts w:ascii="GHEA Grapalat" w:hAnsi="GHEA Grapalat"/>
          <w:sz w:val="24"/>
          <w:lang w:val="af-ZA"/>
        </w:rPr>
        <w:t xml:space="preserve"> 6-</w:t>
      </w:r>
      <w:r w:rsidRPr="005F3580">
        <w:rPr>
          <w:rFonts w:ascii="GHEA Grapalat" w:hAnsi="GHEA Grapalat"/>
          <w:sz w:val="24"/>
          <w:lang w:val="af-ZA"/>
        </w:rPr>
        <w:t>րդ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համապատասխան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պայմանագրի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հիման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վրա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հաշվառված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համար։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Ուժը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կորցրած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ճանաչել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հանձնաժողովի</w:t>
      </w:r>
      <w:r w:rsidR="00E251CF" w:rsidRPr="005F3580">
        <w:rPr>
          <w:rFonts w:ascii="GHEA Grapalat" w:hAnsi="GHEA Grapalat"/>
          <w:sz w:val="24"/>
          <w:lang w:val="af-ZA"/>
        </w:rPr>
        <w:t xml:space="preserve"> 1999 </w:t>
      </w:r>
      <w:r w:rsidRPr="005F3580">
        <w:rPr>
          <w:rFonts w:ascii="GHEA Grapalat" w:hAnsi="GHEA Grapalat"/>
          <w:sz w:val="24"/>
          <w:lang w:val="af-ZA"/>
        </w:rPr>
        <w:t>թվականի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հունիսի</w:t>
      </w:r>
      <w:r w:rsidR="00E251CF" w:rsidRPr="005F3580">
        <w:rPr>
          <w:rFonts w:ascii="GHEA Grapalat" w:hAnsi="GHEA Grapalat"/>
          <w:sz w:val="24"/>
          <w:lang w:val="af-ZA"/>
        </w:rPr>
        <w:t xml:space="preserve"> 10-</w:t>
      </w:r>
      <w:r w:rsidRPr="005F3580">
        <w:rPr>
          <w:rFonts w:ascii="GHEA Grapalat" w:hAnsi="GHEA Grapalat"/>
          <w:sz w:val="24"/>
          <w:lang w:val="af-ZA"/>
        </w:rPr>
        <w:t>ի</w:t>
      </w:r>
      <w:r w:rsidR="00E251CF" w:rsidRPr="005F3580">
        <w:rPr>
          <w:rFonts w:ascii="GHEA Grapalat" w:hAnsi="GHEA Grapalat"/>
          <w:sz w:val="24"/>
          <w:lang w:val="af-ZA"/>
        </w:rPr>
        <w:t xml:space="preserve"> N8 </w:t>
      </w:r>
      <w:r w:rsidRPr="005F3580">
        <w:rPr>
          <w:rFonts w:ascii="GHEA Grapalat" w:hAnsi="GHEA Grapalat"/>
          <w:sz w:val="24"/>
          <w:lang w:val="af-ZA"/>
        </w:rPr>
        <w:t>որոշման</w:t>
      </w:r>
      <w:r w:rsidR="00E251CF" w:rsidRPr="005F3580">
        <w:rPr>
          <w:rFonts w:ascii="GHEA Grapalat" w:hAnsi="GHEA Grapalat"/>
          <w:sz w:val="24"/>
          <w:lang w:val="af-ZA"/>
        </w:rPr>
        <w:t xml:space="preserve"> 1-</w:t>
      </w:r>
      <w:r w:rsidRPr="005F3580">
        <w:rPr>
          <w:rFonts w:ascii="GHEA Grapalat" w:hAnsi="GHEA Grapalat"/>
          <w:sz w:val="24"/>
          <w:lang w:val="af-ZA"/>
        </w:rPr>
        <w:t>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կետը</w:t>
      </w:r>
      <w:r w:rsidR="001F159F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>և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էներգետիկայի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կարգավորող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հանձնաժողովի</w:t>
      </w:r>
      <w:r w:rsidR="00E251CF" w:rsidRPr="005F3580">
        <w:rPr>
          <w:rFonts w:ascii="GHEA Grapalat" w:hAnsi="GHEA Grapalat"/>
          <w:sz w:val="24"/>
          <w:lang w:val="af-ZA"/>
        </w:rPr>
        <w:t xml:space="preserve"> 2003 </w:t>
      </w:r>
      <w:r w:rsidRPr="005F3580">
        <w:rPr>
          <w:rFonts w:ascii="GHEA Grapalat" w:hAnsi="GHEA Grapalat"/>
          <w:sz w:val="24"/>
          <w:lang w:val="af-ZA"/>
        </w:rPr>
        <w:t>թվականի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մարտի</w:t>
      </w:r>
      <w:r w:rsidR="00E251CF" w:rsidRPr="005F3580">
        <w:rPr>
          <w:rFonts w:ascii="GHEA Grapalat" w:hAnsi="GHEA Grapalat"/>
          <w:sz w:val="24"/>
          <w:lang w:val="af-ZA"/>
        </w:rPr>
        <w:t xml:space="preserve"> 3-</w:t>
      </w:r>
      <w:r w:rsidRPr="005F3580">
        <w:rPr>
          <w:rFonts w:ascii="GHEA Grapalat" w:hAnsi="GHEA Grapalat"/>
          <w:sz w:val="24"/>
          <w:lang w:val="af-ZA"/>
        </w:rPr>
        <w:t>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«Հրազդանի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ջերմային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էլեկտրակայան»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փակ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բաժնետիրական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ընկերության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գույքային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համալիրի՝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Ռուսաստանի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Դաշնության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հետագա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սեփականատիրոջ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կամ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օգտագործողի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կողմից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Հանրապետության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տարածքում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հիմնադրվող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իրավաբանական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անձին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տրվող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էլեկտրական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էներգիայի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(</w:t>
      </w:r>
      <w:r w:rsidRPr="005F3580">
        <w:rPr>
          <w:rFonts w:ascii="GHEA Grapalat" w:hAnsi="GHEA Grapalat"/>
          <w:sz w:val="24"/>
          <w:lang w:val="af-ZA"/>
        </w:rPr>
        <w:t>հզորության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) </w:t>
      </w:r>
      <w:r w:rsidRPr="005F3580">
        <w:rPr>
          <w:rFonts w:ascii="GHEA Grapalat" w:hAnsi="GHEA Grapalat"/>
          <w:sz w:val="24"/>
          <w:lang w:val="af-ZA"/>
        </w:rPr>
        <w:t>արտադրության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լիցենզիայի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պայմանները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հաստատելու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մասին»</w:t>
      </w:r>
      <w:r w:rsidR="00E251CF" w:rsidRPr="005F3580">
        <w:rPr>
          <w:rFonts w:ascii="GHEA Grapalat" w:hAnsi="GHEA Grapalat"/>
          <w:sz w:val="24"/>
          <w:lang w:val="af-ZA"/>
        </w:rPr>
        <w:t>N12</w:t>
      </w:r>
      <w:r w:rsidRPr="005F3580">
        <w:rPr>
          <w:rFonts w:ascii="GHEA Grapalat" w:hAnsi="GHEA Grapalat"/>
          <w:sz w:val="24"/>
          <w:lang w:val="af-ZA"/>
        </w:rPr>
        <w:t>Ա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որոշումը։</w:t>
      </w:r>
    </w:p>
    <w:p w:rsidR="00456592" w:rsidRPr="005F3580" w:rsidRDefault="005F3580" w:rsidP="001F159F">
      <w:pPr>
        <w:pStyle w:val="EnvelopeReturn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5F3580">
        <w:rPr>
          <w:rFonts w:ascii="GHEA Grapalat" w:hAnsi="GHEA Grapalat"/>
          <w:sz w:val="24"/>
          <w:lang w:val="af-ZA"/>
        </w:rPr>
        <w:t>Սույն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որոշումն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ուժի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մեջ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է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մտնում</w:t>
      </w:r>
      <w:r w:rsidR="00E251CF" w:rsidRPr="005F3580">
        <w:rPr>
          <w:rFonts w:ascii="GHEA Grapalat" w:hAnsi="GHEA Grapalat"/>
          <w:sz w:val="24"/>
          <w:lang w:val="af-ZA"/>
        </w:rPr>
        <w:t xml:space="preserve"> 2004 </w:t>
      </w:r>
      <w:r w:rsidRPr="005F3580">
        <w:rPr>
          <w:rFonts w:ascii="GHEA Grapalat" w:hAnsi="GHEA Grapalat"/>
          <w:sz w:val="24"/>
          <w:lang w:val="af-ZA"/>
        </w:rPr>
        <w:t>թվականի</w:t>
      </w:r>
      <w:r w:rsidR="00E251CF" w:rsidRPr="005F3580">
        <w:rPr>
          <w:rFonts w:ascii="GHEA Grapalat" w:hAnsi="GHEA Grapalat"/>
          <w:sz w:val="24"/>
          <w:lang w:val="af-ZA"/>
        </w:rPr>
        <w:t xml:space="preserve"> </w:t>
      </w:r>
      <w:r w:rsidRPr="005F3580">
        <w:rPr>
          <w:rFonts w:ascii="GHEA Grapalat" w:hAnsi="GHEA Grapalat"/>
          <w:sz w:val="24"/>
          <w:lang w:val="af-ZA"/>
        </w:rPr>
        <w:t>նոյեմբերի</w:t>
      </w:r>
      <w:r w:rsidR="00E251CF" w:rsidRPr="005F3580">
        <w:rPr>
          <w:rFonts w:ascii="GHEA Grapalat" w:hAnsi="GHEA Grapalat"/>
          <w:sz w:val="24"/>
          <w:lang w:val="af-ZA"/>
        </w:rPr>
        <w:t xml:space="preserve"> 10-</w:t>
      </w:r>
      <w:r w:rsidRPr="005F3580">
        <w:rPr>
          <w:rFonts w:ascii="GHEA Grapalat" w:hAnsi="GHEA Grapalat"/>
          <w:sz w:val="24"/>
          <w:lang w:val="af-ZA"/>
        </w:rPr>
        <w:t>ից։</w:t>
      </w:r>
    </w:p>
    <w:p w:rsidR="00456592" w:rsidRPr="005F3580" w:rsidRDefault="00456592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456592" w:rsidRPr="005F3580" w:rsidRDefault="00456592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456592" w:rsidRPr="005F3580" w:rsidRDefault="00456592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456592" w:rsidRPr="005F3580" w:rsidRDefault="00456592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456592" w:rsidRPr="005F3580" w:rsidRDefault="001F159F">
      <w:pPr>
        <w:pStyle w:val="Header"/>
        <w:ind w:left="-180"/>
        <w:jc w:val="both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ՀԱՅԱՍՏԱՆԻ</w:t>
      </w:r>
      <w:r w:rsidR="00E251CF" w:rsidRPr="005F3580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ՀԱՆՐԱՊԵՏՈՒԹՅԱՆ</w:t>
      </w:r>
    </w:p>
    <w:p w:rsidR="00456592" w:rsidRPr="005F3580" w:rsidRDefault="00E251CF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5F3580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ՀԱՆՐԱՅԻՆ</w:t>
      </w:r>
      <w:r w:rsidRPr="005F3580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5F3580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456592" w:rsidRPr="005F3580" w:rsidRDefault="001F159F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E251CF" w:rsidRPr="005F3580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ՆԱԽԱԳԱՀ՝</w:t>
      </w: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>
        <w:rPr>
          <w:rFonts w:ascii="GHEA Grapalat" w:hAnsi="GHEA Grapalat"/>
          <w:b/>
          <w:iCs/>
          <w:sz w:val="24"/>
          <w:lang w:val="hy-AM"/>
        </w:rPr>
        <w:t xml:space="preserve">     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Ռ</w:t>
      </w:r>
      <w:r w:rsidR="00E251CF" w:rsidRPr="005F3580">
        <w:rPr>
          <w:rFonts w:ascii="GHEA Grapalat" w:hAnsi="GHEA Grapalat"/>
          <w:b/>
          <w:iCs/>
          <w:sz w:val="24"/>
          <w:lang w:val="af-ZA"/>
        </w:rPr>
        <w:t>.</w:t>
      </w:r>
      <w:r w:rsidR="005F3580" w:rsidRPr="005F3580">
        <w:rPr>
          <w:rFonts w:ascii="GHEA Grapalat" w:hAnsi="GHEA Grapalat"/>
          <w:b/>
          <w:iCs/>
          <w:sz w:val="24"/>
          <w:lang w:val="af-ZA"/>
        </w:rPr>
        <w:t>ՆԱԶԱՐՅԱՆ</w:t>
      </w:r>
    </w:p>
    <w:p w:rsidR="00456592" w:rsidRPr="005F3580" w:rsidRDefault="00456592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456592" w:rsidRPr="005F3580" w:rsidRDefault="00456592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456592" w:rsidRPr="005F3580" w:rsidRDefault="005F3580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5F3580">
        <w:rPr>
          <w:rFonts w:ascii="GHEA Grapalat" w:hAnsi="GHEA Grapalat"/>
          <w:bCs/>
          <w:iCs/>
          <w:sz w:val="18"/>
          <w:lang w:val="af-ZA"/>
        </w:rPr>
        <w:t>ք</w:t>
      </w:r>
      <w:r>
        <w:rPr>
          <w:rFonts w:ascii="GHEA Grapalat" w:hAnsi="GHEA Grapalat"/>
          <w:bCs/>
          <w:iCs/>
          <w:sz w:val="18"/>
          <w:lang w:val="af-ZA"/>
        </w:rPr>
        <w:t xml:space="preserve">. </w:t>
      </w:r>
      <w:r w:rsidRPr="005F3580">
        <w:rPr>
          <w:rFonts w:ascii="GHEA Grapalat" w:hAnsi="GHEA Grapalat"/>
          <w:bCs/>
          <w:iCs/>
          <w:sz w:val="18"/>
          <w:lang w:val="af-ZA"/>
        </w:rPr>
        <w:t>Եր</w:t>
      </w:r>
      <w:r>
        <w:rPr>
          <w:rFonts w:ascii="GHEA Grapalat" w:hAnsi="GHEA Grapalat"/>
          <w:bCs/>
          <w:iCs/>
          <w:sz w:val="18"/>
          <w:lang w:val="af-ZA"/>
        </w:rPr>
        <w:t xml:space="preserve"> և</w:t>
      </w:r>
      <w:r w:rsidRPr="005F3580">
        <w:rPr>
          <w:rFonts w:ascii="GHEA Grapalat" w:hAnsi="GHEA Grapalat"/>
          <w:bCs/>
          <w:iCs/>
          <w:sz w:val="18"/>
          <w:lang w:val="af-ZA"/>
        </w:rPr>
        <w:t>ան</w:t>
      </w:r>
    </w:p>
    <w:p w:rsidR="00456592" w:rsidRPr="005F3580" w:rsidRDefault="00E251CF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5F3580">
        <w:rPr>
          <w:rFonts w:ascii="GHEA Grapalat" w:hAnsi="GHEA Grapalat"/>
          <w:bCs/>
          <w:iCs/>
          <w:sz w:val="18"/>
          <w:lang w:val="af-ZA"/>
        </w:rPr>
        <w:t xml:space="preserve">8 </w:t>
      </w:r>
      <w:r w:rsidR="005F3580" w:rsidRPr="005F3580">
        <w:rPr>
          <w:rFonts w:ascii="GHEA Grapalat" w:hAnsi="GHEA Grapalat"/>
          <w:bCs/>
          <w:iCs/>
          <w:sz w:val="18"/>
          <w:lang w:val="af-ZA"/>
        </w:rPr>
        <w:t>նոյեմբերի</w:t>
      </w:r>
      <w:r w:rsidRPr="005F3580">
        <w:rPr>
          <w:rFonts w:ascii="GHEA Grapalat" w:hAnsi="GHEA Grapalat"/>
          <w:bCs/>
          <w:iCs/>
          <w:sz w:val="18"/>
          <w:lang w:val="af-ZA"/>
        </w:rPr>
        <w:t xml:space="preserve"> 2004</w:t>
      </w:r>
      <w:r w:rsidR="005F3580" w:rsidRPr="005F3580">
        <w:rPr>
          <w:rFonts w:ascii="GHEA Grapalat" w:hAnsi="GHEA Grapalat"/>
          <w:bCs/>
          <w:iCs/>
          <w:sz w:val="18"/>
          <w:lang w:val="af-ZA"/>
        </w:rPr>
        <w:t>թ</w:t>
      </w:r>
      <w:r w:rsidR="005F3580">
        <w:rPr>
          <w:rFonts w:ascii="GHEA Grapalat" w:hAnsi="GHEA Grapalat"/>
          <w:bCs/>
          <w:iCs/>
          <w:sz w:val="18"/>
          <w:lang w:val="af-ZA"/>
        </w:rPr>
        <w:t>.</w:t>
      </w:r>
    </w:p>
    <w:p w:rsidR="00E251CF" w:rsidRPr="005F3580" w:rsidRDefault="005F3580">
      <w:pPr>
        <w:pStyle w:val="Header"/>
        <w:jc w:val="both"/>
        <w:rPr>
          <w:rFonts w:ascii="GHEA Grapalat" w:hAnsi="GHEA Grapalat"/>
          <w:sz w:val="16"/>
          <w:u w:val="single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5F3580">
        <w:rPr>
          <w:rFonts w:ascii="GHEA Grapalat" w:hAnsi="GHEA Grapalat"/>
          <w:bCs/>
          <w:iCs/>
          <w:sz w:val="18"/>
          <w:lang w:val="af-ZA"/>
        </w:rPr>
        <w:t>ժամը</w:t>
      </w:r>
      <w:r w:rsidR="00E251CF" w:rsidRPr="005F3580">
        <w:rPr>
          <w:rFonts w:ascii="GHEA Grapalat" w:hAnsi="GHEA Grapalat"/>
          <w:bCs/>
          <w:iCs/>
          <w:sz w:val="18"/>
          <w:lang w:val="af-ZA"/>
        </w:rPr>
        <w:t xml:space="preserve"> 17</w:t>
      </w:r>
      <w:r w:rsidRPr="005F3580">
        <w:rPr>
          <w:rFonts w:ascii="GHEA Grapalat" w:hAnsi="GHEA Grapalat"/>
          <w:bCs/>
          <w:iCs/>
          <w:sz w:val="18"/>
          <w:lang w:val="af-ZA"/>
        </w:rPr>
        <w:t>։</w:t>
      </w:r>
      <w:r w:rsidR="00E251CF" w:rsidRPr="005F3580">
        <w:rPr>
          <w:rFonts w:ascii="GHEA Grapalat" w:hAnsi="GHEA Grapalat"/>
          <w:bCs/>
          <w:iCs/>
          <w:sz w:val="18"/>
          <w:lang w:val="af-ZA"/>
        </w:rPr>
        <w:t>00</w:t>
      </w:r>
      <w:r w:rsidR="00E251CF" w:rsidRPr="005F3580">
        <w:rPr>
          <w:rFonts w:ascii="GHEA Grapalat" w:hAnsi="GHEA Grapalat"/>
          <w:lang w:val="af-ZA"/>
        </w:rPr>
        <w:t xml:space="preserve"> </w:t>
      </w:r>
    </w:p>
    <w:sectPr w:rsidR="00E251CF" w:rsidRPr="005F3580" w:rsidSect="005F3580">
      <w:pgSz w:w="11906" w:h="16838"/>
      <w:pgMar w:top="719" w:right="1274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4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6F932AA3"/>
    <w:multiLevelType w:val="hybridMultilevel"/>
    <w:tmpl w:val="F378D2F2"/>
    <w:lvl w:ilvl="0" w:tplc="FF808D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400EC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2768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0C86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34D6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CC85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6CB8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13280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3E407C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F3580"/>
    <w:rsid w:val="001F159F"/>
    <w:rsid w:val="00456592"/>
    <w:rsid w:val="005F3580"/>
    <w:rsid w:val="00E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120BB093-E10C-4B54-83CF-8DEA78D4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semiHidden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semiHidden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Astghik Hakobjanyan</cp:lastModifiedBy>
  <cp:revision>4</cp:revision>
  <cp:lastPrinted>2021-06-07T12:15:00Z</cp:lastPrinted>
  <dcterms:created xsi:type="dcterms:W3CDTF">2021-05-12T09:11:00Z</dcterms:created>
  <dcterms:modified xsi:type="dcterms:W3CDTF">2021-06-07T12:15:00Z</dcterms:modified>
</cp:coreProperties>
</file>